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3B23D" w14:textId="77777777" w:rsidR="00F44541" w:rsidRPr="00F44541" w:rsidRDefault="00F44541" w:rsidP="00F44541">
      <w:pPr>
        <w:pStyle w:val="Tytu"/>
        <w:spacing w:line="276" w:lineRule="auto"/>
        <w:jc w:val="right"/>
        <w:rPr>
          <w:rFonts w:ascii="Cambria" w:hAnsi="Cambria"/>
          <w:b w:val="0"/>
          <w:bCs/>
          <w:sz w:val="16"/>
          <w:szCs w:val="16"/>
          <w:lang w:val="pl-PL"/>
        </w:rPr>
      </w:pPr>
      <w:r w:rsidRPr="00F44541">
        <w:rPr>
          <w:rFonts w:ascii="Cambria" w:hAnsi="Cambria"/>
          <w:b w:val="0"/>
          <w:bCs/>
          <w:sz w:val="16"/>
          <w:szCs w:val="16"/>
          <w:lang w:val="pl-PL"/>
        </w:rPr>
        <w:t>SZP.033.25.2026</w:t>
      </w:r>
    </w:p>
    <w:p w14:paraId="3092EC94" w14:textId="0D7ED02A" w:rsidR="00E61387" w:rsidRPr="00E61387" w:rsidRDefault="00E61387" w:rsidP="00E61387">
      <w:pPr>
        <w:pStyle w:val="Tytu"/>
        <w:jc w:val="right"/>
        <w:rPr>
          <w:rFonts w:ascii="Cambria" w:hAnsi="Cambria"/>
          <w:i/>
          <w:iCs/>
          <w:sz w:val="16"/>
          <w:szCs w:val="16"/>
          <w:u w:val="single"/>
          <w:lang w:val="pl-PL"/>
        </w:rPr>
      </w:pPr>
      <w:r w:rsidRPr="00E61387">
        <w:rPr>
          <w:rFonts w:ascii="Cambria" w:hAnsi="Cambria"/>
          <w:i/>
          <w:iCs/>
          <w:sz w:val="16"/>
          <w:szCs w:val="16"/>
          <w:u w:val="single"/>
          <w:lang w:val="pl-PL"/>
        </w:rPr>
        <w:t>Załącznik Nr 6</w:t>
      </w:r>
    </w:p>
    <w:p w14:paraId="58B88BE7" w14:textId="77777777" w:rsidR="00E61387" w:rsidRDefault="00E61387">
      <w:pPr>
        <w:pStyle w:val="Tytu"/>
        <w:jc w:val="center"/>
        <w:rPr>
          <w:rFonts w:ascii="Cambria" w:hAnsi="Cambria"/>
          <w:u w:val="single"/>
          <w:lang w:val="pl-PL"/>
        </w:rPr>
      </w:pPr>
    </w:p>
    <w:p w14:paraId="5979096A" w14:textId="0F8ABE70" w:rsidR="00782E46" w:rsidRPr="0038329E" w:rsidRDefault="00000000">
      <w:pPr>
        <w:pStyle w:val="Tytu"/>
        <w:jc w:val="center"/>
        <w:rPr>
          <w:rFonts w:ascii="Cambria" w:hAnsi="Cambria"/>
          <w:u w:val="single"/>
          <w:lang w:val="pl-PL"/>
        </w:rPr>
      </w:pPr>
      <w:r w:rsidRPr="0038329E">
        <w:rPr>
          <w:rFonts w:ascii="Cambria" w:hAnsi="Cambria"/>
          <w:u w:val="single"/>
          <w:lang w:val="pl-PL"/>
        </w:rPr>
        <w:t>OPIS PRZEDMIOTU ZAMÓWIENIA</w:t>
      </w:r>
    </w:p>
    <w:p w14:paraId="136B137C" w14:textId="77777777" w:rsidR="00782E46" w:rsidRPr="0038329E" w:rsidRDefault="00000000" w:rsidP="0038329E">
      <w:pPr>
        <w:pStyle w:val="Subline"/>
        <w:jc w:val="both"/>
        <w:rPr>
          <w:rFonts w:ascii="Cambria" w:hAnsi="Cambria"/>
          <w:sz w:val="20"/>
          <w:szCs w:val="20"/>
          <w:lang w:val="pl-PL"/>
        </w:rPr>
      </w:pPr>
      <w:r w:rsidRPr="0038329E">
        <w:rPr>
          <w:rFonts w:ascii="Cambria" w:hAnsi="Cambria"/>
          <w:sz w:val="20"/>
          <w:szCs w:val="20"/>
          <w:lang w:val="pl-PL"/>
        </w:rPr>
        <w:t>Wykonanie programów funkcjonalno-użytkowych na dostosowanie pomieszczeń piwnicznych I Liceum Ogólnokształcącego im. Stefana Czarnieckiego oraz Zespołu Szkół Nr 1 im. Legionów Polskich w Kozienicach do funkcji miejsc doraźnego schronienia</w:t>
      </w:r>
    </w:p>
    <w:p w14:paraId="0DD725B6" w14:textId="77777777" w:rsidR="00782E46" w:rsidRPr="0038329E" w:rsidRDefault="00000000" w:rsidP="0038329E">
      <w:pPr>
        <w:pStyle w:val="Nagwek1"/>
        <w:jc w:val="both"/>
        <w:rPr>
          <w:rFonts w:ascii="Cambria" w:hAnsi="Cambria"/>
          <w:sz w:val="20"/>
          <w:szCs w:val="20"/>
          <w:lang w:val="pl-PL"/>
        </w:rPr>
      </w:pPr>
      <w:r w:rsidRPr="0038329E">
        <w:rPr>
          <w:rFonts w:ascii="Cambria" w:hAnsi="Cambria"/>
          <w:sz w:val="20"/>
          <w:szCs w:val="20"/>
          <w:lang w:val="pl-PL"/>
        </w:rPr>
        <w:t>1. Przedmiot i cel zamówienia</w:t>
      </w:r>
    </w:p>
    <w:p w14:paraId="11CE6A4C" w14:textId="77777777" w:rsidR="00782E46" w:rsidRPr="0038329E" w:rsidRDefault="00000000" w:rsidP="0038329E">
      <w:pPr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Przedmiotem zamówienia są dwa odrębne programy funkcjonalno-użytkowe: PFU nr 1 dla I LO im. Stefana Czarnieckiego w Kozienicach oraz PFU nr 2 dla ZS Nr 1 im. Legionów Polskich w Kozienicach. Każdy PFU stanowi samodzielne opracowanie z wielobranżową koncepcją adaptacji i osobnym obliczeniem planowanych kosztów prac projektowych oraz robót budowlanych.</w:t>
      </w:r>
    </w:p>
    <w:p w14:paraId="36D09B69" w14:textId="77777777" w:rsidR="00782E46" w:rsidRPr="0038329E" w:rsidRDefault="00000000" w:rsidP="0038329E">
      <w:pPr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Opracowania mają określać wykonalny technicznie i możliwy do wyceny zakres dostosowania pomieszczeń piwnicznych do funkcji MDS oraz umożliwiać przygotowanie w 2027 r. postępowań na zaprojektowanie i wykonanie robót budowlanych. PFU powinny uwzględniać zachowanie dotychczasowego użytkowania budynków w czasie pokoju.</w:t>
      </w:r>
    </w:p>
    <w:p w14:paraId="7BE6CEA7" w14:textId="77777777" w:rsidR="00782E46" w:rsidRPr="0038329E" w:rsidRDefault="00000000" w:rsidP="0038329E">
      <w:pPr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Zamówienie nie obejmuje sporządzenia projektu budowlanego ani technicznego, uzyskania decyzji administracyjnych dotyczących robót ani wykonania tych robót.</w:t>
      </w:r>
    </w:p>
    <w:p w14:paraId="6092CFC2" w14:textId="77777777" w:rsidR="00782E46" w:rsidRPr="0038329E" w:rsidRDefault="00000000" w:rsidP="0038329E">
      <w:pPr>
        <w:pStyle w:val="Nagwek1"/>
        <w:jc w:val="both"/>
        <w:rPr>
          <w:rFonts w:ascii="Cambria" w:hAnsi="Cambria"/>
          <w:sz w:val="20"/>
          <w:szCs w:val="20"/>
        </w:rPr>
      </w:pPr>
      <w:r w:rsidRPr="0038329E">
        <w:rPr>
          <w:rFonts w:ascii="Cambria" w:hAnsi="Cambria"/>
          <w:sz w:val="20"/>
          <w:szCs w:val="20"/>
        </w:rPr>
        <w:t>2. Obiekty i podstawowe założenia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137"/>
        <w:gridCol w:w="3137"/>
        <w:gridCol w:w="3137"/>
      </w:tblGrid>
      <w:tr w:rsidR="00782E46" w:rsidRPr="0038329E" w14:paraId="7A8ADFEC" w14:textId="77777777">
        <w:trPr>
          <w:cantSplit/>
          <w:tblHeader/>
          <w:jc w:val="center"/>
        </w:trPr>
        <w:tc>
          <w:tcPr>
            <w:tcW w:w="3137" w:type="dxa"/>
            <w:shd w:val="clear" w:color="auto" w:fill="EDEDED"/>
            <w:vAlign w:val="center"/>
          </w:tcPr>
          <w:p w14:paraId="7B391F50" w14:textId="77777777" w:rsidR="00782E46" w:rsidRPr="0038329E" w:rsidRDefault="00000000" w:rsidP="0038329E">
            <w:pPr>
              <w:spacing w:before="20" w:after="20"/>
              <w:jc w:val="both"/>
              <w:rPr>
                <w:rFonts w:ascii="Cambria" w:hAnsi="Cambria"/>
                <w:szCs w:val="20"/>
              </w:rPr>
            </w:pPr>
            <w:r w:rsidRPr="0038329E">
              <w:rPr>
                <w:rFonts w:ascii="Cambria" w:hAnsi="Cambria"/>
                <w:b/>
                <w:szCs w:val="20"/>
              </w:rPr>
              <w:t>Parametr</w:t>
            </w:r>
          </w:p>
        </w:tc>
        <w:tc>
          <w:tcPr>
            <w:tcW w:w="3137" w:type="dxa"/>
            <w:shd w:val="clear" w:color="auto" w:fill="EDEDED"/>
            <w:vAlign w:val="center"/>
          </w:tcPr>
          <w:p w14:paraId="59733819" w14:textId="77777777" w:rsidR="00782E46" w:rsidRPr="0038329E" w:rsidRDefault="00000000" w:rsidP="0038329E">
            <w:pPr>
              <w:jc w:val="both"/>
              <w:rPr>
                <w:rFonts w:ascii="Cambria" w:hAnsi="Cambria"/>
                <w:szCs w:val="20"/>
              </w:rPr>
            </w:pPr>
            <w:r w:rsidRPr="0038329E">
              <w:rPr>
                <w:rFonts w:ascii="Cambria" w:hAnsi="Cambria"/>
                <w:b/>
                <w:szCs w:val="20"/>
                <w:lang w:val="pl-PL"/>
              </w:rPr>
              <w:t xml:space="preserve">PFU nr 1 – I LO im. </w:t>
            </w:r>
            <w:r w:rsidRPr="0038329E">
              <w:rPr>
                <w:rFonts w:ascii="Cambria" w:hAnsi="Cambria"/>
                <w:b/>
                <w:szCs w:val="20"/>
              </w:rPr>
              <w:t xml:space="preserve">Stefana </w:t>
            </w:r>
            <w:proofErr w:type="spellStart"/>
            <w:r w:rsidRPr="0038329E">
              <w:rPr>
                <w:rFonts w:ascii="Cambria" w:hAnsi="Cambria"/>
                <w:b/>
                <w:szCs w:val="20"/>
              </w:rPr>
              <w:t>Czarnieckiego</w:t>
            </w:r>
            <w:proofErr w:type="spellEnd"/>
          </w:p>
        </w:tc>
        <w:tc>
          <w:tcPr>
            <w:tcW w:w="3137" w:type="dxa"/>
            <w:shd w:val="clear" w:color="auto" w:fill="EDEDED"/>
            <w:vAlign w:val="center"/>
          </w:tcPr>
          <w:p w14:paraId="343BF09F" w14:textId="77777777" w:rsidR="00782E46" w:rsidRPr="0038329E" w:rsidRDefault="00000000" w:rsidP="0038329E">
            <w:pPr>
              <w:jc w:val="both"/>
              <w:rPr>
                <w:rFonts w:ascii="Cambria" w:hAnsi="Cambria"/>
                <w:szCs w:val="20"/>
              </w:rPr>
            </w:pPr>
            <w:r w:rsidRPr="0038329E">
              <w:rPr>
                <w:rFonts w:ascii="Cambria" w:hAnsi="Cambria"/>
                <w:b/>
                <w:szCs w:val="20"/>
                <w:lang w:val="pl-PL"/>
              </w:rPr>
              <w:t xml:space="preserve">PFU nr 2 – ZS Nr 1 im. </w:t>
            </w:r>
            <w:proofErr w:type="spellStart"/>
            <w:r w:rsidRPr="0038329E">
              <w:rPr>
                <w:rFonts w:ascii="Cambria" w:hAnsi="Cambria"/>
                <w:b/>
                <w:szCs w:val="20"/>
              </w:rPr>
              <w:t>Legionów</w:t>
            </w:r>
            <w:proofErr w:type="spellEnd"/>
            <w:r w:rsidRPr="0038329E">
              <w:rPr>
                <w:rFonts w:ascii="Cambria" w:hAnsi="Cambria"/>
                <w:b/>
                <w:szCs w:val="20"/>
              </w:rPr>
              <w:t xml:space="preserve"> </w:t>
            </w:r>
            <w:proofErr w:type="spellStart"/>
            <w:r w:rsidRPr="0038329E">
              <w:rPr>
                <w:rFonts w:ascii="Cambria" w:hAnsi="Cambria"/>
                <w:b/>
                <w:szCs w:val="20"/>
              </w:rPr>
              <w:t>Polskich</w:t>
            </w:r>
            <w:proofErr w:type="spellEnd"/>
          </w:p>
        </w:tc>
      </w:tr>
      <w:tr w:rsidR="00782E46" w:rsidRPr="00F44541" w14:paraId="36DCADC1" w14:textId="77777777">
        <w:trPr>
          <w:cantSplit/>
          <w:jc w:val="center"/>
        </w:trPr>
        <w:tc>
          <w:tcPr>
            <w:tcW w:w="3137" w:type="dxa"/>
            <w:vAlign w:val="center"/>
          </w:tcPr>
          <w:p w14:paraId="3CBD4A9C" w14:textId="77777777" w:rsidR="00782E46" w:rsidRPr="0038329E" w:rsidRDefault="00000000" w:rsidP="0038329E">
            <w:pPr>
              <w:spacing w:before="20" w:after="20"/>
              <w:jc w:val="both"/>
              <w:rPr>
                <w:rFonts w:ascii="Cambria" w:hAnsi="Cambria"/>
                <w:szCs w:val="20"/>
              </w:rPr>
            </w:pPr>
            <w:r w:rsidRPr="0038329E">
              <w:rPr>
                <w:rFonts w:ascii="Cambria" w:hAnsi="Cambria"/>
                <w:szCs w:val="20"/>
              </w:rPr>
              <w:t>Lokalizacja</w:t>
            </w:r>
          </w:p>
        </w:tc>
        <w:tc>
          <w:tcPr>
            <w:tcW w:w="3137" w:type="dxa"/>
            <w:vAlign w:val="center"/>
          </w:tcPr>
          <w:p w14:paraId="44E40F79" w14:textId="77777777" w:rsidR="00782E46" w:rsidRPr="0038329E" w:rsidRDefault="00000000" w:rsidP="0038329E">
            <w:pPr>
              <w:spacing w:before="20" w:after="20"/>
              <w:jc w:val="both"/>
              <w:rPr>
                <w:rFonts w:ascii="Cambria" w:hAnsi="Cambria"/>
                <w:szCs w:val="20"/>
                <w:lang w:val="pl-PL"/>
              </w:rPr>
            </w:pPr>
            <w:r w:rsidRPr="0038329E">
              <w:rPr>
                <w:rFonts w:ascii="Cambria" w:hAnsi="Cambria"/>
                <w:szCs w:val="20"/>
                <w:lang w:val="pl-PL"/>
              </w:rPr>
              <w:t>ul. Warszawska 25, Kozienice; działka nr 2525</w:t>
            </w:r>
          </w:p>
        </w:tc>
        <w:tc>
          <w:tcPr>
            <w:tcW w:w="3137" w:type="dxa"/>
            <w:vAlign w:val="center"/>
          </w:tcPr>
          <w:p w14:paraId="7C3275C3" w14:textId="77777777" w:rsidR="00782E46" w:rsidRPr="0038329E" w:rsidRDefault="00000000" w:rsidP="0038329E">
            <w:pPr>
              <w:spacing w:before="20" w:after="20"/>
              <w:jc w:val="both"/>
              <w:rPr>
                <w:rFonts w:ascii="Cambria" w:hAnsi="Cambria"/>
                <w:szCs w:val="20"/>
                <w:lang w:val="pl-PL"/>
              </w:rPr>
            </w:pPr>
            <w:r w:rsidRPr="0038329E">
              <w:rPr>
                <w:rFonts w:ascii="Cambria" w:hAnsi="Cambria"/>
                <w:szCs w:val="20"/>
                <w:lang w:val="pl-PL"/>
              </w:rPr>
              <w:t>ul. Warszawska 72, Kozienice; działka nr 1514/10</w:t>
            </w:r>
          </w:p>
        </w:tc>
      </w:tr>
      <w:tr w:rsidR="00782E46" w:rsidRPr="0038329E" w14:paraId="4C84F65E" w14:textId="77777777">
        <w:trPr>
          <w:cantSplit/>
          <w:jc w:val="center"/>
        </w:trPr>
        <w:tc>
          <w:tcPr>
            <w:tcW w:w="3137" w:type="dxa"/>
            <w:vAlign w:val="center"/>
          </w:tcPr>
          <w:p w14:paraId="4B029EF4" w14:textId="77777777" w:rsidR="00782E46" w:rsidRPr="0038329E" w:rsidRDefault="00000000" w:rsidP="0038329E">
            <w:pPr>
              <w:spacing w:before="20" w:after="20"/>
              <w:jc w:val="both"/>
              <w:rPr>
                <w:rFonts w:ascii="Cambria" w:hAnsi="Cambria"/>
                <w:szCs w:val="20"/>
              </w:rPr>
            </w:pPr>
            <w:proofErr w:type="spellStart"/>
            <w:r w:rsidRPr="0038329E">
              <w:rPr>
                <w:rFonts w:ascii="Cambria" w:hAnsi="Cambria"/>
                <w:szCs w:val="20"/>
              </w:rPr>
              <w:t>Powierzchnia</w:t>
            </w:r>
            <w:proofErr w:type="spellEnd"/>
            <w:r w:rsidRPr="0038329E">
              <w:rPr>
                <w:rFonts w:ascii="Cambria" w:hAnsi="Cambria"/>
                <w:szCs w:val="20"/>
              </w:rPr>
              <w:t xml:space="preserve"> </w:t>
            </w:r>
            <w:proofErr w:type="spellStart"/>
            <w:r w:rsidRPr="0038329E">
              <w:rPr>
                <w:rFonts w:ascii="Cambria" w:hAnsi="Cambria"/>
                <w:szCs w:val="20"/>
              </w:rPr>
              <w:t>piwnic</w:t>
            </w:r>
            <w:proofErr w:type="spellEnd"/>
          </w:p>
        </w:tc>
        <w:tc>
          <w:tcPr>
            <w:tcW w:w="3137" w:type="dxa"/>
            <w:vAlign w:val="center"/>
          </w:tcPr>
          <w:p w14:paraId="3E98C850" w14:textId="77777777" w:rsidR="00782E46" w:rsidRPr="0038329E" w:rsidRDefault="00000000" w:rsidP="0038329E">
            <w:pPr>
              <w:spacing w:before="20" w:after="20"/>
              <w:jc w:val="both"/>
              <w:rPr>
                <w:rFonts w:ascii="Cambria" w:hAnsi="Cambria"/>
                <w:szCs w:val="20"/>
              </w:rPr>
            </w:pPr>
            <w:r w:rsidRPr="0038329E">
              <w:rPr>
                <w:rFonts w:ascii="Cambria" w:hAnsi="Cambria"/>
                <w:szCs w:val="20"/>
              </w:rPr>
              <w:t>458,97 m²</w:t>
            </w:r>
          </w:p>
        </w:tc>
        <w:tc>
          <w:tcPr>
            <w:tcW w:w="3137" w:type="dxa"/>
            <w:vAlign w:val="center"/>
          </w:tcPr>
          <w:p w14:paraId="06497E75" w14:textId="77777777" w:rsidR="00782E46" w:rsidRPr="0038329E" w:rsidRDefault="00000000" w:rsidP="0038329E">
            <w:pPr>
              <w:spacing w:before="20" w:after="20"/>
              <w:jc w:val="both"/>
              <w:rPr>
                <w:rFonts w:ascii="Cambria" w:hAnsi="Cambria"/>
                <w:szCs w:val="20"/>
              </w:rPr>
            </w:pPr>
            <w:r w:rsidRPr="0038329E">
              <w:rPr>
                <w:rFonts w:ascii="Cambria" w:hAnsi="Cambria"/>
                <w:szCs w:val="20"/>
              </w:rPr>
              <w:t>ok. 1 005,02 m²</w:t>
            </w:r>
          </w:p>
        </w:tc>
      </w:tr>
      <w:tr w:rsidR="00782E46" w:rsidRPr="0038329E" w14:paraId="5E34836C" w14:textId="77777777">
        <w:trPr>
          <w:cantSplit/>
          <w:jc w:val="center"/>
        </w:trPr>
        <w:tc>
          <w:tcPr>
            <w:tcW w:w="3137" w:type="dxa"/>
            <w:vAlign w:val="center"/>
          </w:tcPr>
          <w:p w14:paraId="23EC3FE7" w14:textId="77777777" w:rsidR="00782E46" w:rsidRPr="0038329E" w:rsidRDefault="00000000" w:rsidP="0038329E">
            <w:pPr>
              <w:spacing w:before="20" w:after="20"/>
              <w:jc w:val="both"/>
              <w:rPr>
                <w:rFonts w:ascii="Cambria" w:hAnsi="Cambria"/>
                <w:szCs w:val="20"/>
              </w:rPr>
            </w:pPr>
            <w:r w:rsidRPr="0038329E">
              <w:rPr>
                <w:rFonts w:ascii="Cambria" w:hAnsi="Cambria"/>
                <w:szCs w:val="20"/>
              </w:rPr>
              <w:t>Przyjęta pojemność MDS</w:t>
            </w:r>
          </w:p>
        </w:tc>
        <w:tc>
          <w:tcPr>
            <w:tcW w:w="3137" w:type="dxa"/>
            <w:vAlign w:val="center"/>
          </w:tcPr>
          <w:p w14:paraId="395C4CE5" w14:textId="77777777" w:rsidR="00782E46" w:rsidRPr="0038329E" w:rsidRDefault="00000000" w:rsidP="0038329E">
            <w:pPr>
              <w:spacing w:before="20" w:after="20"/>
              <w:jc w:val="both"/>
              <w:rPr>
                <w:rFonts w:ascii="Cambria" w:hAnsi="Cambria"/>
                <w:szCs w:val="20"/>
              </w:rPr>
            </w:pPr>
            <w:r w:rsidRPr="0038329E">
              <w:rPr>
                <w:rFonts w:ascii="Cambria" w:hAnsi="Cambria"/>
                <w:szCs w:val="20"/>
              </w:rPr>
              <w:t>200 osób</w:t>
            </w:r>
          </w:p>
        </w:tc>
        <w:tc>
          <w:tcPr>
            <w:tcW w:w="3137" w:type="dxa"/>
            <w:vAlign w:val="center"/>
          </w:tcPr>
          <w:p w14:paraId="24FECE13" w14:textId="77777777" w:rsidR="00782E46" w:rsidRPr="0038329E" w:rsidRDefault="00000000" w:rsidP="0038329E">
            <w:pPr>
              <w:spacing w:before="20" w:after="20"/>
              <w:jc w:val="both"/>
              <w:rPr>
                <w:rFonts w:ascii="Cambria" w:hAnsi="Cambria"/>
                <w:szCs w:val="20"/>
              </w:rPr>
            </w:pPr>
            <w:r w:rsidRPr="0038329E">
              <w:rPr>
                <w:rFonts w:ascii="Cambria" w:hAnsi="Cambria"/>
                <w:szCs w:val="20"/>
              </w:rPr>
              <w:t>380 osób</w:t>
            </w:r>
          </w:p>
        </w:tc>
      </w:tr>
      <w:tr w:rsidR="00782E46" w:rsidRPr="0038329E" w14:paraId="1C60A89E" w14:textId="77777777">
        <w:trPr>
          <w:cantSplit/>
          <w:jc w:val="center"/>
        </w:trPr>
        <w:tc>
          <w:tcPr>
            <w:tcW w:w="3137" w:type="dxa"/>
            <w:vAlign w:val="center"/>
          </w:tcPr>
          <w:p w14:paraId="1FA29BE1" w14:textId="77777777" w:rsidR="00782E46" w:rsidRPr="0038329E" w:rsidRDefault="00000000" w:rsidP="0038329E">
            <w:pPr>
              <w:spacing w:before="20" w:after="20"/>
              <w:jc w:val="both"/>
              <w:rPr>
                <w:rFonts w:ascii="Cambria" w:hAnsi="Cambria"/>
                <w:szCs w:val="20"/>
                <w:lang w:val="pl-PL"/>
              </w:rPr>
            </w:pPr>
            <w:r w:rsidRPr="0038329E">
              <w:rPr>
                <w:rFonts w:ascii="Cambria" w:hAnsi="Cambria"/>
                <w:szCs w:val="20"/>
                <w:lang w:val="pl-PL"/>
              </w:rPr>
              <w:t>Strop nad piwnicą w analizowanej strefie</w:t>
            </w:r>
          </w:p>
        </w:tc>
        <w:tc>
          <w:tcPr>
            <w:tcW w:w="3137" w:type="dxa"/>
            <w:vAlign w:val="center"/>
          </w:tcPr>
          <w:p w14:paraId="3C42D1D1" w14:textId="77777777" w:rsidR="00782E46" w:rsidRPr="0038329E" w:rsidRDefault="00000000" w:rsidP="0038329E">
            <w:pPr>
              <w:spacing w:before="20" w:after="20"/>
              <w:jc w:val="both"/>
              <w:rPr>
                <w:rFonts w:ascii="Cambria" w:hAnsi="Cambria"/>
                <w:szCs w:val="20"/>
              </w:rPr>
            </w:pPr>
            <w:proofErr w:type="spellStart"/>
            <w:r w:rsidRPr="0038329E">
              <w:rPr>
                <w:rFonts w:ascii="Cambria" w:hAnsi="Cambria"/>
                <w:szCs w:val="20"/>
              </w:rPr>
              <w:t>żelbetowy</w:t>
            </w:r>
            <w:proofErr w:type="spellEnd"/>
          </w:p>
        </w:tc>
        <w:tc>
          <w:tcPr>
            <w:tcW w:w="3137" w:type="dxa"/>
            <w:vAlign w:val="center"/>
          </w:tcPr>
          <w:p w14:paraId="6A7818EA" w14:textId="77777777" w:rsidR="00782E46" w:rsidRPr="0038329E" w:rsidRDefault="00000000" w:rsidP="0038329E">
            <w:pPr>
              <w:spacing w:before="20" w:after="20"/>
              <w:jc w:val="both"/>
              <w:rPr>
                <w:rFonts w:ascii="Cambria" w:hAnsi="Cambria"/>
                <w:szCs w:val="20"/>
              </w:rPr>
            </w:pPr>
            <w:r w:rsidRPr="0038329E">
              <w:rPr>
                <w:rFonts w:ascii="Cambria" w:hAnsi="Cambria"/>
                <w:szCs w:val="20"/>
              </w:rPr>
              <w:t>prefabrykowane płyty kanałowe</w:t>
            </w:r>
          </w:p>
        </w:tc>
      </w:tr>
      <w:tr w:rsidR="00782E46" w:rsidRPr="00F44541" w14:paraId="4ABF5845" w14:textId="77777777">
        <w:trPr>
          <w:cantSplit/>
          <w:jc w:val="center"/>
        </w:trPr>
        <w:tc>
          <w:tcPr>
            <w:tcW w:w="3137" w:type="dxa"/>
            <w:vAlign w:val="center"/>
          </w:tcPr>
          <w:p w14:paraId="4331868C" w14:textId="77777777" w:rsidR="00782E46" w:rsidRPr="0038329E" w:rsidRDefault="00000000" w:rsidP="0038329E">
            <w:pPr>
              <w:spacing w:before="20" w:after="20"/>
              <w:jc w:val="both"/>
              <w:rPr>
                <w:rFonts w:ascii="Cambria" w:hAnsi="Cambria"/>
                <w:szCs w:val="20"/>
              </w:rPr>
            </w:pPr>
            <w:r w:rsidRPr="0038329E">
              <w:rPr>
                <w:rFonts w:ascii="Cambria" w:hAnsi="Cambria"/>
                <w:szCs w:val="20"/>
              </w:rPr>
              <w:t>Podstawowe uwarunkowanie konstrukcyjne</w:t>
            </w:r>
          </w:p>
        </w:tc>
        <w:tc>
          <w:tcPr>
            <w:tcW w:w="3137" w:type="dxa"/>
            <w:vAlign w:val="center"/>
          </w:tcPr>
          <w:p w14:paraId="5E0377D5" w14:textId="77777777" w:rsidR="00782E46" w:rsidRPr="0038329E" w:rsidRDefault="00000000" w:rsidP="0038329E">
            <w:pPr>
              <w:spacing w:before="20" w:after="20"/>
              <w:jc w:val="both"/>
              <w:rPr>
                <w:rFonts w:ascii="Cambria" w:hAnsi="Cambria"/>
                <w:szCs w:val="20"/>
                <w:lang w:val="pl-PL"/>
              </w:rPr>
            </w:pPr>
            <w:r w:rsidRPr="0038329E">
              <w:rPr>
                <w:rFonts w:ascii="Cambria" w:hAnsi="Cambria"/>
                <w:szCs w:val="20"/>
                <w:lang w:val="pl-PL"/>
              </w:rPr>
              <w:t>wzmocnienie stropu i bezpieczne przekazanie nowych reakcji</w:t>
            </w:r>
          </w:p>
        </w:tc>
        <w:tc>
          <w:tcPr>
            <w:tcW w:w="3137" w:type="dxa"/>
            <w:vAlign w:val="center"/>
          </w:tcPr>
          <w:p w14:paraId="46191174" w14:textId="77777777" w:rsidR="00782E46" w:rsidRPr="0038329E" w:rsidRDefault="00000000" w:rsidP="0038329E">
            <w:pPr>
              <w:spacing w:before="20" w:after="20"/>
              <w:jc w:val="both"/>
              <w:rPr>
                <w:rFonts w:ascii="Cambria" w:hAnsi="Cambria"/>
                <w:szCs w:val="20"/>
                <w:lang w:val="pl-PL"/>
              </w:rPr>
            </w:pPr>
            <w:r w:rsidRPr="0038329E">
              <w:rPr>
                <w:rFonts w:ascii="Cambria" w:hAnsi="Cambria"/>
                <w:szCs w:val="20"/>
                <w:lang w:val="pl-PL"/>
              </w:rPr>
              <w:t>wzmocnienie stropu kanałowego i bezpieczne przekazanie nowych reakcji</w:t>
            </w:r>
          </w:p>
        </w:tc>
      </w:tr>
    </w:tbl>
    <w:p w14:paraId="29AA33B2" w14:textId="77777777" w:rsidR="00782E46" w:rsidRPr="0038329E" w:rsidRDefault="00000000" w:rsidP="0038329E">
      <w:pPr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Pojemności 200 i 380 osób stanowią założenia do opracowania po jednym rozwiązaniu dla każdego budynku. Możliwość ich uzyskania należy potwierdzić bilansem rzeczywistej wolnej powierzchni, uwzględniając wymagania dotyczące wysokości pomieszczeń, zajętości konstrukcji i instalacji, komunikacji oraz osób poruszających się na wózkach. Jeżeli przyjęta pojemność okaże się niewykonalna, PFU musi jednoznacznie wskazywać przyczynę, niezbędną zmianę zakresu albo osiągalną pojemność; nie dopuszcza się deklarowania pozornej zgodności.</w:t>
      </w:r>
    </w:p>
    <w:p w14:paraId="018E0B56" w14:textId="77777777" w:rsidR="00782E46" w:rsidRPr="0038329E" w:rsidRDefault="00000000" w:rsidP="0038329E">
      <w:pPr>
        <w:pStyle w:val="Nagwek1"/>
        <w:jc w:val="both"/>
        <w:rPr>
          <w:rFonts w:ascii="Cambria" w:hAnsi="Cambria"/>
          <w:sz w:val="20"/>
          <w:szCs w:val="20"/>
          <w:lang w:val="pl-PL"/>
        </w:rPr>
      </w:pPr>
      <w:r w:rsidRPr="0038329E">
        <w:rPr>
          <w:rFonts w:ascii="Cambria" w:hAnsi="Cambria"/>
          <w:sz w:val="20"/>
          <w:szCs w:val="20"/>
          <w:lang w:val="pl-PL"/>
        </w:rPr>
        <w:t>3. Dokumentacja wyjściowa i niezbędne rozpoznanie</w:t>
      </w:r>
    </w:p>
    <w:p w14:paraId="41558349" w14:textId="77777777" w:rsidR="00782E46" w:rsidRPr="0038329E" w:rsidRDefault="00000000" w:rsidP="0038329E">
      <w:pPr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Dla obu budynków dostępne są inwentaryzacje i dokumentacja techniczna. Wykonawca wykorzysta przekazane materiały jako dane wyjściowe, zweryfikuje ich kompletność i przydatność do sporządzenia PFU oraz przeprowadzi niezbędne wizje lokalne i pomiary sprawdzające. Nie wymaga się ponownego wykonywania pełnych inwentaryzacji ani kompleksowych ekspertyz, o ile posiadane opracowania umożliwiają przygotowanie kompletnego PFU.</w:t>
      </w:r>
    </w:p>
    <w:p w14:paraId="089A6556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Sprawdzi istotne dla koncepcji rozwiązania przestrzenne i instalacyjne, w szczególności wysokości w świetle, istniejące przejścia, schody, drogi wyjścia, zajętość pomieszczeń, lokalizację instalacji oraz możliwości wykorzystania poszczególnych przestrzeni.</w:t>
      </w:r>
    </w:p>
    <w:p w14:paraId="262E3CB5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lastRenderedPageBreak/>
        <w:t>–  Rozpozna uwarunkowania lokalizacji wyjścia zapasowego i robót zewnętrznych, w tym istniejące zagospodarowanie, widoczne i udokumentowane sieci, dojścia, ograniczenia wynikające z terenu szkoły oraz kolizje z wykonanymi lub realizowanymi pracami termomodernizacyjnymi.</w:t>
      </w:r>
    </w:p>
    <w:p w14:paraId="56DBA287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Wyjaśni istotne rozbieżności i uzupełni dane niezbędne do oceny wykonalności oraz określenia zakresu i kosztów prac; wskaże zagadnienia wymagające dalszego rozpoznania dopiero na etapie projektu budowlanego lub technicznego.</w:t>
      </w:r>
    </w:p>
    <w:p w14:paraId="42F6E66A" w14:textId="77777777" w:rsidR="00782E46" w:rsidRPr="0038329E" w:rsidRDefault="00000000" w:rsidP="0038329E">
      <w:pPr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W przypadku stwierdzenia braków, błędów, nieścisłości lub niewystarczającego zakresu dokumentacji wyjściowej Wykonawca jest zobowiązany we własnym zakresie i na własny koszt wykonać lub pozyskać wszelkie uzupełniające pomiary, odkrywki, badania, opinie, analizy, obliczenia i opracowania specjalistyczne niezbędne do sporządzenia kompletnego i rzetelnego PFU. Obowiązek ten obejmuje również weryfikację i uzupełnienie przekazanej dokumentacji technicznej, jeżeli jest to niezbędne do przyjęcia wykonalnych rozwiązań i wiarygodnego oszacowania kosztów. Wszystkie koszty czynności niezbędnych do wykonania PFU Wykonawca uwzględnia w cenie zamówienia; nie podlegają one odrębnemu wynagrodzeniu.</w:t>
      </w:r>
    </w:p>
    <w:p w14:paraId="14F25464" w14:textId="77777777" w:rsidR="00782E46" w:rsidRPr="0038329E" w:rsidRDefault="00000000" w:rsidP="0038329E">
      <w:pPr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Prace wymagające ingerencji w konstrukcję lub zagospodarowanie terenu, w szczególności odkrywki i sondowania, należy uprzednio uzgodnić z Zamawiającym. Wykonawca na własny koszt zabezpieczy miejsca prac oraz przywróci naruszone elementy do stanu poprzedniego. Na etap projektu budowlanego lub technicznego można pozostawić wyłącznie takie badania i ustalenia szczegółowe, które nie są konieczne do potwierdzenia wykonalności rozwiązania, określenia zakresu prac ani rzetelnego oszacowania kosztów w PFU.</w:t>
      </w:r>
    </w:p>
    <w:p w14:paraId="2F9C38AD" w14:textId="77777777" w:rsidR="00782E46" w:rsidRPr="0038329E" w:rsidRDefault="00000000" w:rsidP="0038329E">
      <w:pPr>
        <w:pStyle w:val="Nagwek1"/>
        <w:jc w:val="both"/>
        <w:rPr>
          <w:rFonts w:ascii="Cambria" w:hAnsi="Cambria"/>
          <w:sz w:val="20"/>
          <w:szCs w:val="20"/>
          <w:lang w:val="pl-PL"/>
        </w:rPr>
      </w:pPr>
      <w:r w:rsidRPr="0038329E">
        <w:rPr>
          <w:rFonts w:ascii="Cambria" w:hAnsi="Cambria"/>
          <w:sz w:val="20"/>
          <w:szCs w:val="20"/>
          <w:lang w:val="pl-PL"/>
        </w:rPr>
        <w:t>4. Koncepcja architektoniczna i funkcjonalna</w:t>
      </w:r>
    </w:p>
    <w:p w14:paraId="17370F1B" w14:textId="77777777" w:rsidR="00782E46" w:rsidRPr="0038329E" w:rsidRDefault="00000000" w:rsidP="0038329E">
      <w:pPr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Dla każdego budynku PFU powinien przedstawiać jeden spójny układ funkcjonalny, obejmujący:</w:t>
      </w:r>
    </w:p>
    <w:p w14:paraId="364B3283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granice MDS, pomieszczenia przeznaczone na pobyt, komunikację, wejścia, wyjścia, sanitariaty, strefy techniczne, wyposażenie i ewentualne miejsce udzielania pierwszej pomocy;</w:t>
      </w:r>
    </w:p>
    <w:p w14:paraId="7DDD8BCD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zestawienie powierzchni pomieszczeń i bilans powierzchni wolnej przeznaczonej na pobyt osób, zgodny z wymaganiami dla MDS, wraz z rozmieszczeniem podpór i urządzeń;</w:t>
      </w:r>
    </w:p>
    <w:p w14:paraId="37492ADD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dostęp do pomieszczeń i korzystanie z funkcji ochronnej przez osoby ze szczególnymi potrzebami, w tym poruszające się na wózkach, z identyfikacją koniecznych dostosowań;</w:t>
      </w:r>
    </w:p>
    <w:p w14:paraId="0CFE2FA3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roboty rozbiórkowe, adaptacyjne i wykończeniowe, zabezpieczenie przed zawilgoceniem i podtopieniem oraz konieczne przeniesienie lub usunięcie wyposażenia;</w:t>
      </w:r>
    </w:p>
    <w:p w14:paraId="0E764168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sposób użytkowania piwnic w okresie normalnej działalności szkół i podstawowe działania wymagane przed uruchomieniem funkcji MDS.</w:t>
      </w:r>
    </w:p>
    <w:p w14:paraId="69B7E74E" w14:textId="77777777" w:rsidR="00782E46" w:rsidRPr="0038329E" w:rsidRDefault="00000000" w:rsidP="0038329E">
      <w:pPr>
        <w:pStyle w:val="Nagwek1"/>
        <w:jc w:val="both"/>
        <w:rPr>
          <w:rFonts w:ascii="Cambria" w:hAnsi="Cambria"/>
          <w:sz w:val="20"/>
          <w:szCs w:val="20"/>
          <w:lang w:val="pl-PL"/>
        </w:rPr>
      </w:pPr>
      <w:r w:rsidRPr="0038329E">
        <w:rPr>
          <w:rFonts w:ascii="Cambria" w:hAnsi="Cambria"/>
          <w:sz w:val="20"/>
          <w:szCs w:val="20"/>
          <w:lang w:val="pl-PL"/>
        </w:rPr>
        <w:t>5. Rozwiązania konstrukcyjne</w:t>
      </w:r>
    </w:p>
    <w:p w14:paraId="4F3181D6" w14:textId="77777777" w:rsidR="00782E46" w:rsidRPr="0038329E" w:rsidRDefault="00000000" w:rsidP="0038329E">
      <w:pPr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PFU ma wskazać wstępnie zweryfikowane rozwiązanie konstrukcyjne, możliwe do rozwinięcia w projekcie budowlanym i technicznym oraz umożliwiające wiarygodne określenie zakresu i kosztów robót. Opracowanie nie może ograniczać się do ogólnego zalecenia wzmocnienia stropu.</w:t>
      </w:r>
    </w:p>
    <w:p w14:paraId="394EDB2A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Prawidłowo ustalić właściwe obciążenie wyjątkowe od zagruzowania (Ad), uwzględniając rzeczywisty ustrój konstrukcyjny i liczbę kondygnacji budynku, a następnie opisać zakres wzmocnienia stropu i elementów współpracujących.</w:t>
      </w:r>
    </w:p>
    <w:p w14:paraId="213AADBB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Określić koncepcyjny układ belek, podpór, ram lub innych elementów wzmacniających oraz przewidywany sposób przekazywania reakcji na podłoże przez istniejące albo nowe elementy podporowe i fundamentowe.</w:t>
      </w:r>
    </w:p>
    <w:p w14:paraId="63279FBF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Uwzględnić możliwość stosowania podpór tymczasowych tylko przy wykazaniu zgodności z wymaganiami przewidzianymi dla takich systemów, w tym możliwości ich przygotowania, zamontowania i przechowywania.</w:t>
      </w:r>
    </w:p>
    <w:p w14:paraId="022840CD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Uwzględnić oddziaływanie parcia gruntu i zagruzowania, wzmocnienia lokalne, nowe otwory, wpływ robót na konstrukcję oraz ograniczenia wysokości i powierzchni wynikające z przyjętych zabezpieczeń.</w:t>
      </w:r>
    </w:p>
    <w:p w14:paraId="5D4AA6DA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Przedstawić schematy konstrukcyjne i założenia do wstępnego doboru rozwiązań oraz ilości robót, bez wymagania pełnego projektu konstrukcyjnego i końcowego wymiarowania wszystkich elementów.</w:t>
      </w:r>
    </w:p>
    <w:p w14:paraId="13EFE3C0" w14:textId="77777777" w:rsidR="00782E46" w:rsidRPr="0038329E" w:rsidRDefault="00000000" w:rsidP="0038329E">
      <w:pPr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lastRenderedPageBreak/>
        <w:t xml:space="preserve">Dla I LO należy uwzględnić strop żelbetowy oraz miejscowo rozpoznaną niejednorodność elementów ściennych. Dla ZS Nr 1 należy uwzględnić konstrukcję płyt kanałowych i sposób podparcia, który nie powoduje niedopuszczalnego miejscowego docisku. W ZS Nr 1 szczególnej weryfikacji wymaga właściwa wartość Ad, w tym rozstrzygnięcie, czy należy przyjąć 20 </w:t>
      </w:r>
      <w:proofErr w:type="spellStart"/>
      <w:r w:rsidRPr="0038329E">
        <w:rPr>
          <w:rFonts w:ascii="Cambria" w:hAnsi="Cambria"/>
          <w:szCs w:val="20"/>
          <w:lang w:val="pl-PL"/>
        </w:rPr>
        <w:t>kN</w:t>
      </w:r>
      <w:proofErr w:type="spellEnd"/>
      <w:r w:rsidRPr="0038329E">
        <w:rPr>
          <w:rFonts w:ascii="Cambria" w:hAnsi="Cambria"/>
          <w:szCs w:val="20"/>
          <w:lang w:val="pl-PL"/>
        </w:rPr>
        <w:t>/m².</w:t>
      </w:r>
    </w:p>
    <w:p w14:paraId="7500EC1A" w14:textId="77777777" w:rsidR="00782E46" w:rsidRPr="0038329E" w:rsidRDefault="00000000" w:rsidP="0038329E">
      <w:pPr>
        <w:pStyle w:val="Nagwek1"/>
        <w:jc w:val="both"/>
        <w:rPr>
          <w:rFonts w:ascii="Cambria" w:hAnsi="Cambria"/>
          <w:sz w:val="20"/>
          <w:szCs w:val="20"/>
          <w:lang w:val="pl-PL"/>
        </w:rPr>
      </w:pPr>
      <w:r w:rsidRPr="0038329E">
        <w:rPr>
          <w:rFonts w:ascii="Cambria" w:hAnsi="Cambria"/>
          <w:sz w:val="20"/>
          <w:szCs w:val="20"/>
          <w:lang w:val="pl-PL"/>
        </w:rPr>
        <w:t>6. Ewakuacja, wyjścia zapasowe i ochrona przeciwpożarowa</w:t>
      </w:r>
    </w:p>
    <w:p w14:paraId="3F6E99DB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Dla I LO (200 osób) przyjąć co najmniej jedno wyjście ewakuacyjne i jedno wyjście zapasowe; dla ZS Nr 1 (380 osób) – co najmniej dwa wyjścia ewakuacyjne i jedno wyjście zapasowe, z uwzględnieniem wszystkich innych właściwych wymagań dla budynków i MDS.</w:t>
      </w:r>
    </w:p>
    <w:p w14:paraId="11113C81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Przedstawić na rzutach możliwą lokalizację i przebieg wyjść zapasowych, dojścia oraz rozwiązanie wyprowadzenia poza strefę prognozowanego zagruzowania, wyznaczoną dla rzeczywistej wysokości budynku.</w:t>
      </w:r>
    </w:p>
    <w:p w14:paraId="5D4AE173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Zweryfikować rzeczywistą możliwość wykonania wyjść, w szczególności kolizje z istniejącą konstrukcją, uzbrojeniem terenu, zagospodarowaniem szkoły i granicami nieruchomości. Zidentyfikować potrzebne rozpoznanie projektowe i uzgodnienia.</w:t>
      </w:r>
    </w:p>
    <w:p w14:paraId="1CB7E8A6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 xml:space="preserve">–  Określić niezbędne rozwiązania w zakresie ochrony przeciwpożarowej, dróg ewakuacyjnych, </w:t>
      </w:r>
      <w:proofErr w:type="spellStart"/>
      <w:r w:rsidRPr="0038329E">
        <w:rPr>
          <w:rFonts w:ascii="Cambria" w:hAnsi="Cambria"/>
          <w:szCs w:val="20"/>
          <w:lang w:val="pl-PL"/>
        </w:rPr>
        <w:t>wydzieleń</w:t>
      </w:r>
      <w:proofErr w:type="spellEnd"/>
      <w:r w:rsidRPr="0038329E">
        <w:rPr>
          <w:rFonts w:ascii="Cambria" w:hAnsi="Cambria"/>
          <w:szCs w:val="20"/>
          <w:lang w:val="pl-PL"/>
        </w:rPr>
        <w:t>, oświetlenia awaryjnego, zabezpieczenia otworów oraz wejść, uwzględniając właściwe przepisy.</w:t>
      </w:r>
    </w:p>
    <w:p w14:paraId="5664E30C" w14:textId="77777777" w:rsidR="00782E46" w:rsidRPr="0038329E" w:rsidRDefault="00000000" w:rsidP="0038329E">
      <w:pPr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PFU musi wykazać wykonalność przyjętego rozwiązania ewakuacyjnego albo jednoznacznie wskazać istniejącą przeszkodę. Nie należy zakładać zastosowania wyjątków lub odstępstw bez podstawy prawnej.</w:t>
      </w:r>
    </w:p>
    <w:p w14:paraId="77672CC8" w14:textId="77777777" w:rsidR="00782E46" w:rsidRPr="0038329E" w:rsidRDefault="00000000" w:rsidP="0038329E">
      <w:pPr>
        <w:pStyle w:val="Nagwek1"/>
        <w:jc w:val="both"/>
        <w:rPr>
          <w:rFonts w:ascii="Cambria" w:hAnsi="Cambria"/>
          <w:sz w:val="20"/>
          <w:szCs w:val="20"/>
          <w:lang w:val="pl-PL"/>
        </w:rPr>
      </w:pPr>
      <w:r w:rsidRPr="0038329E">
        <w:rPr>
          <w:rFonts w:ascii="Cambria" w:hAnsi="Cambria"/>
          <w:sz w:val="20"/>
          <w:szCs w:val="20"/>
          <w:lang w:val="pl-PL"/>
        </w:rPr>
        <w:t>7. Instalacje oraz wyposażenie MDS</w:t>
      </w:r>
    </w:p>
    <w:p w14:paraId="4C2DE44D" w14:textId="77777777" w:rsidR="00782E46" w:rsidRPr="0038329E" w:rsidRDefault="00000000" w:rsidP="0038329E">
      <w:pPr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Zakres i parametry instalacji oraz wyposażenia należy określić na podstawie wymagań obowiązujących przepisów dotyczących MDS, przyjętej pojemności, bilansów zapotrzebowania i możliwości wykorzystania istniejących instalacji. Wykonawca dobierze rozwiązania zapewniające spełnienie właściwych wymagań technicznych i funkcjonalnych, w szczególności w zakresie:</w:t>
      </w:r>
    </w:p>
    <w:p w14:paraId="179C2A54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wentylację, dopływ i usuwanie powietrza oraz zapewnienie wymaganych parametrów atmosfery w okresie schronienia nie krótszym niż 48 godzin; koncepcyjne lokalizacje urządzeń, kanałów, czerpni i wyrzutni;</w:t>
      </w:r>
    </w:p>
    <w:p w14:paraId="5D108F83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zasilanie elektryczne, niezbędne rozdzielnice i zabezpieczenia, oświetlenie, możliwości zasilania awaryjnego i komunikacji, z określeniem wymagań dla urządzeń wybranych na podstawie bilansu mocy;</w:t>
      </w:r>
    </w:p>
    <w:p w14:paraId="5F5E7ADE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zaopatrzenia w wodę przeznaczoną do spożycia, ogrzewania i odwodnienia, z uwzględnieniem możliwości istniejących instalacji;</w:t>
      </w:r>
    </w:p>
    <w:p w14:paraId="469C6E2A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pomieszczeń higieniczno-sanitarnych i sanitariatów, w tym liczby oraz rodzaju urządzeń sanitarnych, sposobu ich działania, dostępu do wody i odprowadzania lub gromadzenia ścieków – odpowiednio do pojemności MDS i wymagań obowiązujących przepisów;</w:t>
      </w:r>
    </w:p>
    <w:p w14:paraId="7A3B2116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pozostałych instalacji i urządzeń wymaganych dla MDS o określonej pojemności, w szczególności związanych z przygotowywaniem posiłków, odcięciem dopływu mediów i bezpieczną eksploatacją;</w:t>
      </w:r>
    </w:p>
    <w:p w14:paraId="49715568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oznaczenie miejsca, podstawowe wyposażenie do siedzenia, odpoczynku lub spania oraz niezbędne wyposażenie eksploatacyjne, z podziałem na elementy stałe i przewidziane do dostarczenia przed uruchomieniem.</w:t>
      </w:r>
    </w:p>
    <w:p w14:paraId="1BE65FE8" w14:textId="77777777" w:rsidR="00782E46" w:rsidRPr="0038329E" w:rsidRDefault="00000000" w:rsidP="0038329E">
      <w:pPr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W PFU należy wskazać konkretne rozwiązania i ich parametry, uzasadnione wymaganiami przepisów, bilansem potrzeb i warunkami technicznymi każdego obiektu, bez narzucania nieuzasadnionych typów urządzeń ani producentów. Każdy PFU powinien przedstawiać jedno rozwiązanie spójne z kalkulacją kosztów.</w:t>
      </w:r>
    </w:p>
    <w:p w14:paraId="6FFA1B0C" w14:textId="77777777" w:rsidR="00782E46" w:rsidRPr="0038329E" w:rsidRDefault="00000000" w:rsidP="0038329E">
      <w:pPr>
        <w:pStyle w:val="Nagwek1"/>
        <w:jc w:val="both"/>
        <w:rPr>
          <w:rFonts w:ascii="Cambria" w:hAnsi="Cambria"/>
          <w:sz w:val="20"/>
          <w:szCs w:val="20"/>
          <w:lang w:val="pl-PL"/>
        </w:rPr>
      </w:pPr>
      <w:r w:rsidRPr="0038329E">
        <w:rPr>
          <w:rFonts w:ascii="Cambria" w:hAnsi="Cambria"/>
          <w:sz w:val="20"/>
          <w:szCs w:val="20"/>
          <w:lang w:val="pl-PL"/>
        </w:rPr>
        <w:t>8. Wymagana zawartość PFU</w:t>
      </w:r>
    </w:p>
    <w:p w14:paraId="68EC9E68" w14:textId="77777777" w:rsidR="00782E46" w:rsidRPr="0038329E" w:rsidRDefault="00000000" w:rsidP="0038329E">
      <w:pPr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Każde opracowanie powinno zawierać stronę tytułową, część opisową i informacyjną w zakresie przewidzianym dla PFU, a także załączniki niezbędne do opisania przyszłej inwestycji. Oczekuje się co najmniej:</w:t>
      </w:r>
    </w:p>
    <w:p w14:paraId="5885F025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opisu planowanej adaptacji i jej granic, parametrów funkcjonalno-użytkowych, wymagań branżowych, materiałowych, jakościowych i zasad sprawdzenia przyjętych rozwiązań;</w:t>
      </w:r>
    </w:p>
    <w:p w14:paraId="255A98A7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lastRenderedPageBreak/>
        <w:t>–  koncepcji na podstawie posiadanych podkładów inwentaryzacyjnych: rzutów pomieszczeń MDS, niezbędnych przekrojów, schematów konstrukcyjnych, układu ewakuacji, lokalizacji wyjść zapasowych, rozwiązań instalacyjnych i niezbędnych robót zewnętrznych;</w:t>
      </w:r>
    </w:p>
    <w:p w14:paraId="1F9F1703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bilansu powierzchni, pojemności, podstawowych parametrów instalacji i urządzeń oraz zestawienia robót i wyposażenia koniecznych do osiągnięcia funkcji MDS;</w:t>
      </w:r>
    </w:p>
    <w:p w14:paraId="3542877C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 xml:space="preserve">–  wykazu dokumentów, badań, uzgodnień, opinii i decyzji, które należy uzyskać na etapie projektowania i realizacji, oraz istotnych ograniczeń i </w:t>
      </w:r>
      <w:proofErr w:type="spellStart"/>
      <w:r w:rsidRPr="0038329E">
        <w:rPr>
          <w:rFonts w:ascii="Cambria" w:hAnsi="Cambria"/>
          <w:szCs w:val="20"/>
          <w:lang w:val="pl-PL"/>
        </w:rPr>
        <w:t>ryzyk</w:t>
      </w:r>
      <w:proofErr w:type="spellEnd"/>
      <w:r w:rsidRPr="0038329E">
        <w:rPr>
          <w:rFonts w:ascii="Cambria" w:hAnsi="Cambria"/>
          <w:szCs w:val="20"/>
          <w:lang w:val="pl-PL"/>
        </w:rPr>
        <w:t xml:space="preserve"> wymagających rozstrzygnięcia;</w:t>
      </w:r>
    </w:p>
    <w:p w14:paraId="54547F21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podziału rzeczowego na możliwe etapy realizacji, jeżeli pozwala na to charakter prac, ze wskazaniem elementów niepodzielnych, warunkujących możliwość uruchomienia MDS.</w:t>
      </w:r>
    </w:p>
    <w:p w14:paraId="489E0215" w14:textId="77777777" w:rsidR="00782E46" w:rsidRPr="0038329E" w:rsidRDefault="00000000" w:rsidP="0038329E">
      <w:pPr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Nie wymaga się sporządzenia kompletnych projektów branżowych, szczegółowego przedmiaru na podstawie dokumentacji wykonawczej ani uzyskania w ramach niniejszej usługi decyzji i uzgodnień wymaganych dopiero do realizacji robót.</w:t>
      </w:r>
    </w:p>
    <w:p w14:paraId="70C2CB73" w14:textId="77777777" w:rsidR="00782E46" w:rsidRPr="0038329E" w:rsidRDefault="00000000" w:rsidP="0038329E">
      <w:pPr>
        <w:pStyle w:val="Nagwek1"/>
        <w:jc w:val="both"/>
        <w:rPr>
          <w:rFonts w:ascii="Cambria" w:hAnsi="Cambria"/>
          <w:sz w:val="20"/>
          <w:szCs w:val="20"/>
          <w:lang w:val="pl-PL"/>
        </w:rPr>
      </w:pPr>
      <w:r w:rsidRPr="0038329E">
        <w:rPr>
          <w:rFonts w:ascii="Cambria" w:hAnsi="Cambria"/>
          <w:sz w:val="20"/>
          <w:szCs w:val="20"/>
          <w:lang w:val="pl-PL"/>
        </w:rPr>
        <w:t>9. Planowane koszty inwestycji</w:t>
      </w:r>
    </w:p>
    <w:p w14:paraId="7C03E339" w14:textId="77777777" w:rsidR="00782E46" w:rsidRPr="0038329E" w:rsidRDefault="00000000" w:rsidP="0038329E">
      <w:pPr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Dla każdego PFU należy sporządzić odrębne obliczenie planowanych kosztów prac projektowych oraz planowanych kosztów robót budowlanych zgodnie z obowiązującymi przepisami. Każde obliczenie ma obejmować wyłącznie zakres robót i wyposażenia danego obiektu, umożliwiając niezależne planowanie i realizację inwestycji.</w:t>
      </w:r>
    </w:p>
    <w:p w14:paraId="3C310A01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Zestawić koszty według głównych grup robót: prace przygotowawcze i adaptacyjne, konstrukcja i posadowienie, wyjścia oraz roboty zewnętrzne, instalacje i urządzenia, ochrona przeciwpożarowa, wykończenie i wyposażenie.</w:t>
      </w:r>
    </w:p>
    <w:p w14:paraId="40598B6D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 xml:space="preserve">–  Podać przyjęte ilości i parametry cenotwórcze, poziom cen oraz datę opracowania, wartości netto i brutto; oddzielnie wykazać koszty prac projektowych i ewentualną rezerwę kosztową wynikającą ze zidentyfikowanych </w:t>
      </w:r>
      <w:proofErr w:type="spellStart"/>
      <w:r w:rsidRPr="0038329E">
        <w:rPr>
          <w:rFonts w:ascii="Cambria" w:hAnsi="Cambria"/>
          <w:szCs w:val="20"/>
          <w:lang w:val="pl-PL"/>
        </w:rPr>
        <w:t>ryzyk</w:t>
      </w:r>
      <w:proofErr w:type="spellEnd"/>
      <w:r w:rsidRPr="0038329E">
        <w:rPr>
          <w:rFonts w:ascii="Cambria" w:hAnsi="Cambria"/>
          <w:szCs w:val="20"/>
          <w:lang w:val="pl-PL"/>
        </w:rPr>
        <w:t>.</w:t>
      </w:r>
    </w:p>
    <w:p w14:paraId="46469DE1" w14:textId="77777777" w:rsidR="00782E46" w:rsidRPr="0038329E" w:rsidRDefault="00000000" w:rsidP="0038329E">
      <w:pPr>
        <w:pStyle w:val="Compactbullet"/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–  Wskazać zakres konieczny do uruchomienia MDS i ewentualne elementy możliwe do wykonania w późniejszym etapie, bez traktowania niekompletnego etapu jako działającego MDS.</w:t>
      </w:r>
    </w:p>
    <w:p w14:paraId="1E238CF1" w14:textId="77777777" w:rsidR="00782E46" w:rsidRPr="0038329E" w:rsidRDefault="00000000" w:rsidP="0038329E">
      <w:pPr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Oszacowanie ma umożliwić przygotowanie zamówienia „zaprojektuj i wybuduj” oraz planu finansowania inwestycji. Nie jest wymagany kosztorys inwestorski oparty na kompletnym projekcie wykonawczym.</w:t>
      </w:r>
    </w:p>
    <w:p w14:paraId="54E2C8F9" w14:textId="77777777" w:rsidR="00782E46" w:rsidRPr="0038329E" w:rsidRDefault="00000000" w:rsidP="0038329E">
      <w:pPr>
        <w:pStyle w:val="Nagwek1"/>
        <w:jc w:val="both"/>
        <w:rPr>
          <w:rFonts w:ascii="Cambria" w:hAnsi="Cambria"/>
          <w:sz w:val="20"/>
          <w:szCs w:val="20"/>
          <w:lang w:val="pl-PL"/>
        </w:rPr>
      </w:pPr>
      <w:r w:rsidRPr="0038329E">
        <w:rPr>
          <w:rFonts w:ascii="Cambria" w:hAnsi="Cambria"/>
          <w:sz w:val="20"/>
          <w:szCs w:val="20"/>
          <w:lang w:val="pl-PL"/>
        </w:rPr>
        <w:t>10. Forma opracowań</w:t>
      </w:r>
    </w:p>
    <w:p w14:paraId="1B44E6FB" w14:textId="77777777" w:rsidR="00782E46" w:rsidRPr="0038329E" w:rsidRDefault="00000000" w:rsidP="0038329E">
      <w:pPr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Dla każdego obiektu należy przekazać niezależny komplet: PFU, koncepcję wielobranżową, niezbędne załączniki i obliczenie planowanych kosztów. Opracowania i kalkulacje nie mogą być łączone między obiektami. Każdy komplet należy przekazać w wersji papierowej i elektronicznej: PDF oraz w edytowalnych formatach tekstowych, kalkulacyjnych i rysunkowych.</w:t>
      </w:r>
    </w:p>
    <w:p w14:paraId="3D5DDB96" w14:textId="77777777" w:rsidR="00782E46" w:rsidRPr="0038329E" w:rsidRDefault="00000000" w:rsidP="0038329E">
      <w:pPr>
        <w:jc w:val="both"/>
        <w:rPr>
          <w:rFonts w:ascii="Cambria" w:hAnsi="Cambria"/>
          <w:szCs w:val="20"/>
          <w:lang w:val="pl-PL"/>
        </w:rPr>
      </w:pPr>
      <w:r w:rsidRPr="0038329E">
        <w:rPr>
          <w:rFonts w:ascii="Cambria" w:hAnsi="Cambria"/>
          <w:szCs w:val="20"/>
          <w:lang w:val="pl-PL"/>
        </w:rPr>
        <w:t>PFU musi być spójny, zawierać czytelne rysunki i zestawienia oraz jednoznacznie określać zakres przyszłych prac. Należy stosować aktualne przepisy dotyczące MDS, PFU, prawa budowlanego oraz obliczania planowanych kosztów inwestycji.</w:t>
      </w:r>
    </w:p>
    <w:sectPr w:rsidR="00782E46" w:rsidRPr="0038329E" w:rsidSect="00034616">
      <w:headerReference w:type="default" r:id="rId8"/>
      <w:footerReference w:type="default" r:id="rId9"/>
      <w:pgSz w:w="11906" w:h="16838"/>
      <w:pgMar w:top="1106" w:right="1219" w:bottom="992" w:left="1276" w:header="51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A1F1A" w14:textId="77777777" w:rsidR="00AE2FE5" w:rsidRDefault="00AE2FE5">
      <w:pPr>
        <w:spacing w:after="0" w:line="240" w:lineRule="auto"/>
      </w:pPr>
      <w:r>
        <w:separator/>
      </w:r>
    </w:p>
  </w:endnote>
  <w:endnote w:type="continuationSeparator" w:id="0">
    <w:p w14:paraId="4F83157B" w14:textId="77777777" w:rsidR="00AE2FE5" w:rsidRDefault="00AE2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E3300" w14:textId="77777777" w:rsidR="00782E46" w:rsidRDefault="00000000">
    <w:pPr>
      <w:pStyle w:val="Stopka"/>
      <w:jc w:val="right"/>
    </w:pPr>
    <w:r>
      <w:rPr>
        <w:color w:val="555555"/>
        <w:sz w:val="16"/>
      </w:rPr>
      <w:t xml:space="preserve">OPIS PRZEDMIOTU ZAMÓWIENIA   |   </w:t>
    </w:r>
    <w:r>
      <w:fldChar w:fldCharType="begin"/>
    </w:r>
    <w:r>
      <w:instrText>PAGE</w:instrText>
    </w:r>
    <w:r>
      <w:fldChar w:fldCharType="separate"/>
    </w:r>
    <w:r w:rsidR="00F4524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FCECE" w14:textId="77777777" w:rsidR="00AE2FE5" w:rsidRDefault="00AE2FE5">
      <w:pPr>
        <w:spacing w:after="0" w:line="240" w:lineRule="auto"/>
      </w:pPr>
      <w:r>
        <w:separator/>
      </w:r>
    </w:p>
  </w:footnote>
  <w:footnote w:type="continuationSeparator" w:id="0">
    <w:p w14:paraId="62247065" w14:textId="77777777" w:rsidR="00AE2FE5" w:rsidRDefault="00AE2F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D9F45" w14:textId="2B5131A3" w:rsidR="00782E46" w:rsidRPr="00F4524F" w:rsidRDefault="00F4524F" w:rsidP="00F4524F">
    <w:pPr>
      <w:pStyle w:val="Nagwek"/>
    </w:pPr>
    <w:r w:rsidRPr="003E0A62">
      <w:rPr>
        <w:noProof/>
      </w:rPr>
      <w:drawing>
        <wp:inline distT="0" distB="0" distL="0" distR="0" wp14:anchorId="0EB69672" wp14:editId="5B281241">
          <wp:extent cx="5759450" cy="1211580"/>
          <wp:effectExtent l="0" t="0" r="0" b="0"/>
          <wp:docPr id="148856003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211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6723330">
    <w:abstractNumId w:val="8"/>
  </w:num>
  <w:num w:numId="2" w16cid:durableId="378172436">
    <w:abstractNumId w:val="6"/>
  </w:num>
  <w:num w:numId="3" w16cid:durableId="1338073501">
    <w:abstractNumId w:val="5"/>
  </w:num>
  <w:num w:numId="4" w16cid:durableId="9332952">
    <w:abstractNumId w:val="4"/>
  </w:num>
  <w:num w:numId="5" w16cid:durableId="887304396">
    <w:abstractNumId w:val="7"/>
  </w:num>
  <w:num w:numId="6" w16cid:durableId="906888222">
    <w:abstractNumId w:val="3"/>
  </w:num>
  <w:num w:numId="7" w16cid:durableId="66152127">
    <w:abstractNumId w:val="2"/>
  </w:num>
  <w:num w:numId="8" w16cid:durableId="1034504589">
    <w:abstractNumId w:val="1"/>
  </w:num>
  <w:num w:numId="9" w16cid:durableId="828137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17C3"/>
    <w:rsid w:val="0029639D"/>
    <w:rsid w:val="00326F90"/>
    <w:rsid w:val="0038329E"/>
    <w:rsid w:val="006B6B73"/>
    <w:rsid w:val="00782E46"/>
    <w:rsid w:val="00AA1D8D"/>
    <w:rsid w:val="00AE2FE5"/>
    <w:rsid w:val="00B47730"/>
    <w:rsid w:val="00CB0664"/>
    <w:rsid w:val="00D04A22"/>
    <w:rsid w:val="00E61387"/>
    <w:rsid w:val="00F44541"/>
    <w:rsid w:val="00F4524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F6F688"/>
  <w14:defaultImageDpi w14:val="300"/>
  <w15:docId w15:val="{E6D63838-F003-4DF8-AA73-6240A751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54" w:line="259" w:lineRule="auto"/>
    </w:pPr>
    <w:rPr>
      <w:rFonts w:ascii="Aptos" w:hAnsi="Aptos"/>
      <w:color w:val="141414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40" w:after="70"/>
      <w:outlineLvl w:val="0"/>
    </w:pPr>
    <w:rPr>
      <w:rFonts w:asciiTheme="majorHAnsi" w:eastAsiaTheme="majorEastAsia" w:hAnsiTheme="majorHAnsi" w:cstheme="majorBidi"/>
      <w:b/>
      <w:bCs/>
      <w:color w:val="0F0F0F"/>
      <w:sz w:val="23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0F0F0F"/>
      <w:sz w:val="2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/>
      <w:b/>
      <w:color w:val="0F0F0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mpactbullet">
    <w:name w:val="Compact bullet"/>
    <w:basedOn w:val="Normalny"/>
    <w:pPr>
      <w:keepLines/>
      <w:spacing w:after="30"/>
      <w:ind w:left="255" w:hanging="153"/>
    </w:pPr>
  </w:style>
  <w:style w:type="paragraph" w:customStyle="1" w:styleId="Subline">
    <w:name w:val="Subline"/>
    <w:basedOn w:val="Normalny"/>
    <w:pPr>
      <w:spacing w:after="180"/>
    </w:pPr>
    <w:rPr>
      <w:color w:val="41414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1923</Words>
  <Characters>11543</Characters>
  <Application>Microsoft Office Word</Application>
  <DocSecurity>0</DocSecurity>
  <Lines>96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przedmiotu zamówienia — programy funkcjonalno-użytkowe MDS</dc:title>
  <dc:subject/>
  <dc:creator>Powiat Kozienicki</dc:creator>
  <cp:keywords/>
  <dc:description>generated by python-docx</dc:description>
  <cp:lastModifiedBy>marcin.rzeznik@kozienicepowiat.pl</cp:lastModifiedBy>
  <cp:revision>5</cp:revision>
  <dcterms:created xsi:type="dcterms:W3CDTF">2013-12-23T23:15:00Z</dcterms:created>
  <dcterms:modified xsi:type="dcterms:W3CDTF">2026-10-22T06:39:00Z</dcterms:modified>
  <cp:category/>
</cp:coreProperties>
</file>